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8F" w:rsidRDefault="00196A51">
      <w:pPr>
        <w:pStyle w:val="Default"/>
        <w:spacing w:after="322" w:line="560" w:lineRule="atLeast"/>
        <w:rPr>
          <w:rFonts w:ascii="Times" w:eastAsia="Times" w:hAnsi="Times" w:cs="Times"/>
          <w:sz w:val="24"/>
          <w:szCs w:val="24"/>
          <w:shd w:val="clear" w:color="auto" w:fill="FEFFFF"/>
        </w:rPr>
      </w:pPr>
      <w:bookmarkStart w:id="0" w:name="_GoBack"/>
      <w:bookmarkEnd w:id="0"/>
      <w:r>
        <w:rPr>
          <w:rFonts w:ascii="Times" w:hAnsi="Times"/>
          <w:b/>
          <w:bCs/>
          <w:sz w:val="48"/>
          <w:szCs w:val="4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 qui profite la politique agricole commune ? </w:t>
      </w:r>
    </w:p>
    <w:p w:rsidR="0020438F" w:rsidRDefault="00196A51">
      <w:pPr>
        <w:pStyle w:val="Default"/>
        <w:spacing w:line="280" w:lineRule="atLeast"/>
        <w:rPr>
          <w:rStyle w:val="None"/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hyperlink r:id="rId6" w:history="1">
        <w:r>
          <w:rPr>
            <w:rStyle w:val="Hyperlink0"/>
            <w:rFonts w:ascii="Times" w:hAnsi="Times"/>
            <w:sz w:val="24"/>
            <w:szCs w:val="24"/>
          </w:rPr>
          <w:t xml:space="preserve">Antoine de </w:t>
        </w:r>
        <w:proofErr w:type="spellStart"/>
        <w:r>
          <w:rPr>
            <w:rStyle w:val="Hyperlink0"/>
            <w:rFonts w:ascii="Times" w:hAnsi="Times"/>
            <w:sz w:val="24"/>
            <w:szCs w:val="24"/>
          </w:rPr>
          <w:t>Ravignan</w:t>
        </w:r>
        <w:proofErr w:type="spellEnd"/>
      </w:hyperlink>
      <w:r>
        <w:rPr>
          <w:rStyle w:val="None"/>
          <w:rFonts w:ascii="Times" w:hAnsi="Times"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27/02/2020 </w:t>
      </w:r>
    </w:p>
    <w:p w:rsidR="0020438F" w:rsidRDefault="0020438F">
      <w:pPr>
        <w:pStyle w:val="Default"/>
        <w:spacing w:line="280" w:lineRule="atLeast"/>
        <w:rPr>
          <w:rStyle w:val="None"/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20438F" w:rsidRDefault="00196A51">
      <w:pPr>
        <w:pStyle w:val="Default"/>
        <w:spacing w:after="240" w:line="280" w:lineRule="atLeast"/>
        <w:jc w:val="both"/>
        <w:rPr>
          <w:rFonts w:ascii="Times" w:eastAsia="Times" w:hAnsi="Times" w:cs="Times"/>
          <w:sz w:val="24"/>
          <w:szCs w:val="24"/>
          <w:shd w:val="clear" w:color="auto" w:fill="FEFFFF"/>
        </w:rPr>
      </w:pPr>
      <w:r>
        <w:rPr>
          <w:rFonts w:ascii="Times" w:hAnsi="Times"/>
          <w:sz w:val="24"/>
          <w:szCs w:val="24"/>
          <w:shd w:val="clear" w:color="auto" w:fill="FEFFFF"/>
        </w:rPr>
        <w:t>La ren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gociation en cours du budget europ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en pour la 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riode 2021-2027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s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annonce peu g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n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reuse pour la politique agricole commune qui, 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j</w:t>
      </w:r>
      <w:r>
        <w:rPr>
          <w:rFonts w:ascii="Times" w:hAnsi="Times"/>
          <w:sz w:val="24"/>
          <w:szCs w:val="24"/>
          <w:shd w:val="clear" w:color="auto" w:fill="FEFFFF"/>
        </w:rPr>
        <w:t>à</w:t>
      </w:r>
      <w:r>
        <w:rPr>
          <w:rFonts w:ascii="Times" w:hAnsi="Times"/>
          <w:sz w:val="24"/>
          <w:szCs w:val="24"/>
          <w:shd w:val="clear" w:color="auto" w:fill="FEFFFF"/>
        </w:rPr>
        <w:t>, ne profite gu</w:t>
      </w:r>
      <w:r>
        <w:rPr>
          <w:rFonts w:ascii="Times" w:hAnsi="Times"/>
          <w:sz w:val="24"/>
          <w:szCs w:val="24"/>
          <w:shd w:val="clear" w:color="auto" w:fill="FEFFFF"/>
        </w:rPr>
        <w:t>è</w:t>
      </w:r>
      <w:r>
        <w:rPr>
          <w:rFonts w:ascii="Times" w:hAnsi="Times"/>
          <w:sz w:val="24"/>
          <w:szCs w:val="24"/>
          <w:shd w:val="clear" w:color="auto" w:fill="FEFFFF"/>
        </w:rPr>
        <w:t xml:space="preserve">re aux agriculteurs </w:t>
      </w:r>
      <w:proofErr w:type="spellStart"/>
      <w:r>
        <w:rPr>
          <w:rFonts w:ascii="Times" w:hAnsi="Times"/>
          <w:sz w:val="24"/>
          <w:szCs w:val="24"/>
          <w:shd w:val="clear" w:color="auto" w:fill="FEFFFF"/>
        </w:rPr>
        <w:t>fran</w:t>
      </w:r>
      <w:proofErr w:type="spellEnd"/>
      <w:r>
        <w:rPr>
          <w:rFonts w:ascii="Times" w:hAnsi="Times"/>
          <w:sz w:val="24"/>
          <w:szCs w:val="24"/>
          <w:shd w:val="clear" w:color="auto" w:fill="FEFFFF"/>
          <w:lang w:val="pt-PT"/>
        </w:rPr>
        <w:t>ç</w:t>
      </w:r>
      <w:r>
        <w:rPr>
          <w:rFonts w:ascii="Times" w:hAnsi="Times"/>
          <w:sz w:val="24"/>
          <w:szCs w:val="24"/>
          <w:shd w:val="clear" w:color="auto" w:fill="FEFFFF"/>
        </w:rPr>
        <w:t xml:space="preserve">ais et encore moins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proofErr w:type="spellStart"/>
      <w:r>
        <w:rPr>
          <w:rFonts w:ascii="Times" w:hAnsi="Times"/>
          <w:sz w:val="24"/>
          <w:szCs w:val="24"/>
          <w:shd w:val="clear" w:color="auto" w:fill="FEFFFF"/>
        </w:rPr>
        <w:t>agro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proofErr w:type="spellEnd"/>
      <w:r>
        <w:rPr>
          <w:rFonts w:ascii="Times" w:hAnsi="Times"/>
          <w:sz w:val="24"/>
          <w:szCs w:val="24"/>
          <w:shd w:val="clear" w:color="auto" w:fill="FEFFFF"/>
          <w:lang w:val="it-IT"/>
        </w:rPr>
        <w:t>cologie.</w:t>
      </w:r>
    </w:p>
    <w:p w:rsidR="0020438F" w:rsidRDefault="00196A51">
      <w:pPr>
        <w:pStyle w:val="Default"/>
        <w:spacing w:after="240" w:line="280" w:lineRule="atLeast"/>
        <w:jc w:val="both"/>
        <w:rPr>
          <w:rFonts w:ascii="Times" w:eastAsia="Times" w:hAnsi="Times" w:cs="Times"/>
          <w:sz w:val="24"/>
          <w:szCs w:val="24"/>
          <w:shd w:val="clear" w:color="auto" w:fill="FEFFFF"/>
        </w:rPr>
      </w:pP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« 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 xml:space="preserve">La PAC ne peut pas 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ê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 xml:space="preserve">tre 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la variable d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’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 xml:space="preserve">ajustement du </w:t>
      </w:r>
      <w:proofErr w:type="spellStart"/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Brexit</w:t>
      </w:r>
      <w:proofErr w:type="spellEnd"/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 »</w:t>
      </w:r>
      <w:r>
        <w:rPr>
          <w:rFonts w:ascii="Times" w:hAnsi="Times"/>
          <w:sz w:val="24"/>
          <w:szCs w:val="24"/>
          <w:shd w:val="clear" w:color="auto" w:fill="FEFFFF"/>
        </w:rPr>
        <w:t>, a 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  <w:lang w:val="pt-PT"/>
        </w:rPr>
        <w:t>clar</w:t>
      </w:r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>Emmanuel Macron lors de sa visite au Salon de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agriculture, le 22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f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vrier. C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est pourtant ce qui est en train de se produire avec la ren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gociation en cours du budget europ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en pour la 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 xml:space="preserve">riode 2021-2027. Lors </w:t>
      </w:r>
      <w:r>
        <w:rPr>
          <w:rFonts w:ascii="Times" w:hAnsi="Times"/>
          <w:sz w:val="24"/>
          <w:szCs w:val="24"/>
          <w:shd w:val="clear" w:color="auto" w:fill="FEFFFF"/>
        </w:rPr>
        <w:t>du sommet europ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en extraordinaire du 20 au 21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f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vrier, les chiffres sur la table tournaient autour de 330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milliards d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euros pour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agriculture des 27 (sur sept ans). C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est beaucoup moins que la proposition de la Commission de juin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2018 (365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milliards), ell</w:t>
      </w:r>
      <w:r>
        <w:rPr>
          <w:rFonts w:ascii="Times" w:hAnsi="Times"/>
          <w:sz w:val="24"/>
          <w:szCs w:val="24"/>
          <w:shd w:val="clear" w:color="auto" w:fill="FEFFFF"/>
        </w:rPr>
        <w:t>e-m</w:t>
      </w:r>
      <w:r>
        <w:rPr>
          <w:rFonts w:ascii="Times" w:hAnsi="Times"/>
          <w:sz w:val="24"/>
          <w:szCs w:val="24"/>
          <w:shd w:val="clear" w:color="auto" w:fill="FEFFFF"/>
        </w:rPr>
        <w:t>ê</w:t>
      </w:r>
      <w:r>
        <w:rPr>
          <w:rFonts w:ascii="Times" w:hAnsi="Times"/>
          <w:sz w:val="24"/>
          <w:szCs w:val="24"/>
          <w:shd w:val="clear" w:color="auto" w:fill="FEFFFF"/>
        </w:rPr>
        <w:t>me en recul par rapport au pr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c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 xml:space="preserve">dent </w:t>
      </w:r>
      <w:hyperlink r:id="rId7" w:history="1">
        <w:r>
          <w:rPr>
            <w:rFonts w:ascii="Times" w:hAnsi="Times"/>
            <w:sz w:val="24"/>
            <w:szCs w:val="24"/>
            <w:shd w:val="clear" w:color="auto" w:fill="FEFFFF"/>
          </w:rPr>
          <w:t>cadre budg</w:t>
        </w:r>
        <w:r>
          <w:rPr>
            <w:rFonts w:ascii="Times" w:hAnsi="Times"/>
            <w:sz w:val="24"/>
            <w:szCs w:val="24"/>
            <w:shd w:val="clear" w:color="auto" w:fill="FEFFFF"/>
          </w:rPr>
          <w:t>é</w:t>
        </w:r>
        <w:r>
          <w:rPr>
            <w:rFonts w:ascii="Times" w:hAnsi="Times"/>
            <w:sz w:val="24"/>
            <w:szCs w:val="24"/>
            <w:shd w:val="clear" w:color="auto" w:fill="FEFFFF"/>
          </w:rPr>
          <w:t>taire pluriannuel</w:t>
        </w:r>
      </w:hyperlink>
      <w:r>
        <w:rPr>
          <w:rStyle w:val="None"/>
          <w:rFonts w:ascii="Times" w:eastAsia="Times" w:hAnsi="Times" w:cs="Times"/>
          <w:sz w:val="24"/>
          <w:szCs w:val="24"/>
          <w:shd w:val="clear" w:color="auto" w:fill="FEFFFF"/>
          <w:vertAlign w:val="superscript"/>
        </w:rPr>
        <w:footnoteReference w:id="2"/>
      </w:r>
      <w:r>
        <w:rPr>
          <w:rFonts w:ascii="Times" w:hAnsi="Times"/>
          <w:sz w:val="24"/>
          <w:szCs w:val="24"/>
          <w:shd w:val="clear" w:color="auto" w:fill="FEFFFF"/>
        </w:rPr>
        <w:t xml:space="preserve">. Plus que le </w:t>
      </w:r>
      <w:proofErr w:type="spellStart"/>
      <w:r>
        <w:rPr>
          <w:rFonts w:ascii="Times" w:hAnsi="Times"/>
          <w:sz w:val="24"/>
          <w:szCs w:val="24"/>
          <w:shd w:val="clear" w:color="auto" w:fill="FEFFFF"/>
        </w:rPr>
        <w:t>Brexit</w:t>
      </w:r>
      <w:proofErr w:type="spellEnd"/>
      <w:r>
        <w:rPr>
          <w:rFonts w:ascii="Times" w:hAnsi="Times"/>
          <w:sz w:val="24"/>
          <w:szCs w:val="24"/>
          <w:shd w:val="clear" w:color="auto" w:fill="FEFFFF"/>
        </w:rPr>
        <w:t>, cette baisse traduit la volont</w:t>
      </w:r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>des Etats-membres d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accro</w:t>
      </w:r>
      <w:r>
        <w:rPr>
          <w:rFonts w:ascii="Times" w:hAnsi="Times"/>
          <w:sz w:val="24"/>
          <w:szCs w:val="24"/>
          <w:shd w:val="clear" w:color="auto" w:fill="FEFFFF"/>
        </w:rPr>
        <w:t>î</w:t>
      </w:r>
      <w:r>
        <w:rPr>
          <w:rFonts w:ascii="Times" w:hAnsi="Times"/>
          <w:sz w:val="24"/>
          <w:szCs w:val="24"/>
          <w:shd w:val="clear" w:color="auto" w:fill="FEFFFF"/>
        </w:rPr>
        <w:t>tre les 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penses de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Union europ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enne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(UE) dans d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autres domaines (d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 xml:space="preserve">fense, immigration, 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nergie) mais non leur contribution (1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% de leur revenu national brut).</w:t>
      </w:r>
    </w:p>
    <w:p w:rsidR="0020438F" w:rsidRDefault="00196A51">
      <w:pPr>
        <w:pStyle w:val="Default"/>
        <w:spacing w:after="299" w:line="440" w:lineRule="atLeast"/>
        <w:rPr>
          <w:rFonts w:ascii="Times" w:eastAsia="Times" w:hAnsi="Times" w:cs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Les agriculteurs prof</w:t>
      </w:r>
      <w:r>
        <w:rPr>
          <w:rFonts w:ascii="Times" w:hAnsi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itent peu de la PAC</w:t>
      </w:r>
    </w:p>
    <w:p w:rsidR="0020438F" w:rsidRDefault="00196A51">
      <w:pPr>
        <w:pStyle w:val="Default"/>
        <w:spacing w:after="240" w:line="280" w:lineRule="atLeast"/>
        <w:jc w:val="both"/>
        <w:rPr>
          <w:rFonts w:ascii="Times" w:eastAsia="Times" w:hAnsi="Times" w:cs="Times"/>
          <w:sz w:val="24"/>
          <w:szCs w:val="24"/>
          <w:shd w:val="clear" w:color="auto" w:fill="FEFFFF"/>
        </w:rPr>
      </w:pPr>
      <w:r>
        <w:rPr>
          <w:rFonts w:ascii="Times" w:hAnsi="Times"/>
          <w:sz w:val="24"/>
          <w:szCs w:val="24"/>
          <w:shd w:val="clear" w:color="auto" w:fill="FEFFFF"/>
        </w:rPr>
        <w:t xml:space="preserve">Ils justifient sans le dire la baisse des aides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agriculture par celle du nombre de paysans. En France, les exploitations professionnelles sont pass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  <w:lang w:val="pt-PT"/>
        </w:rPr>
        <w:t>es de 540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 xml:space="preserve">000 </w:t>
      </w:r>
      <w:r>
        <w:rPr>
          <w:rFonts w:ascii="Times" w:hAnsi="Times"/>
          <w:sz w:val="24"/>
          <w:szCs w:val="24"/>
          <w:shd w:val="clear" w:color="auto" w:fill="FEFFFF"/>
        </w:rPr>
        <w:t>à</w:t>
      </w:r>
      <w:r>
        <w:rPr>
          <w:rFonts w:ascii="Times" w:hAnsi="Times"/>
          <w:sz w:val="24"/>
          <w:szCs w:val="24"/>
          <w:shd w:val="clear" w:color="auto" w:fill="FEFFFF"/>
        </w:rPr>
        <w:t xml:space="preserve"> </w:t>
      </w:r>
      <w:r>
        <w:rPr>
          <w:rFonts w:ascii="Times" w:hAnsi="Times"/>
          <w:sz w:val="24"/>
          <w:szCs w:val="24"/>
          <w:shd w:val="clear" w:color="auto" w:fill="FEFFFF"/>
        </w:rPr>
        <w:t>293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000 entre 1988 et 2018. Le mouvement se poursuit, avec deux installations pour trois 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parts. Mais le fait que le gros des aides PAC soit vers</w:t>
      </w:r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 xml:space="preserve">en fonction de la taille des exploitations aggrave cette situation au lieu de la corriger. </w:t>
      </w:r>
      <w:hyperlink r:id="rId8" w:history="1">
        <w:r>
          <w:rPr>
            <w:rFonts w:ascii="Times" w:hAnsi="Times"/>
            <w:sz w:val="24"/>
            <w:szCs w:val="24"/>
            <w:shd w:val="clear" w:color="auto" w:fill="FEFFFF"/>
          </w:rPr>
          <w:t>Plus elles sont grandes et plus elles touchent</w:t>
        </w:r>
      </w:hyperlink>
      <w:r>
        <w:rPr>
          <w:rFonts w:ascii="Times" w:hAnsi="Times"/>
          <w:sz w:val="24"/>
          <w:szCs w:val="24"/>
          <w:shd w:val="clear" w:color="auto" w:fill="FEFFFF"/>
        </w:rPr>
        <w:t>.</w:t>
      </w:r>
    </w:p>
    <w:p w:rsidR="0020438F" w:rsidRDefault="00196A51">
      <w:pPr>
        <w:pStyle w:val="Default"/>
        <w:spacing w:after="240" w:line="280" w:lineRule="atLeast"/>
        <w:jc w:val="both"/>
        <w:rPr>
          <w:rFonts w:ascii="Times" w:eastAsia="Times" w:hAnsi="Times" w:cs="Times"/>
          <w:sz w:val="24"/>
          <w:szCs w:val="24"/>
          <w:shd w:val="clear" w:color="auto" w:fill="FEFFFF"/>
        </w:rPr>
      </w:pPr>
      <w:r>
        <w:rPr>
          <w:rFonts w:ascii="Times" w:hAnsi="Times"/>
          <w:sz w:val="24"/>
          <w:szCs w:val="24"/>
          <w:shd w:val="clear" w:color="auto" w:fill="FEFFFF"/>
        </w:rPr>
        <w:t>Dans leur majorit</w:t>
      </w:r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 xml:space="preserve">cependant, </w:t>
      </w:r>
      <w:hyperlink r:id="rId9" w:history="1">
        <w:r>
          <w:rPr>
            <w:rFonts w:ascii="Times" w:hAnsi="Times"/>
            <w:sz w:val="24"/>
            <w:szCs w:val="24"/>
            <w:shd w:val="clear" w:color="auto" w:fill="FEFFFF"/>
          </w:rPr>
          <w:t>les agriculteurs profitent peu de ce syst</w:t>
        </w:r>
        <w:r>
          <w:rPr>
            <w:rFonts w:ascii="Times" w:hAnsi="Times"/>
            <w:sz w:val="24"/>
            <w:szCs w:val="24"/>
            <w:shd w:val="clear" w:color="auto" w:fill="FEFFFF"/>
          </w:rPr>
          <w:t>è</w:t>
        </w:r>
        <w:r>
          <w:rPr>
            <w:rFonts w:ascii="Times" w:hAnsi="Times"/>
            <w:sz w:val="24"/>
            <w:szCs w:val="24"/>
            <w:shd w:val="clear" w:color="auto" w:fill="FEFFFF"/>
          </w:rPr>
          <w:t>me</w:t>
        </w:r>
      </w:hyperlink>
      <w:r>
        <w:rPr>
          <w:rFonts w:ascii="Times" w:hAnsi="Times"/>
          <w:sz w:val="24"/>
          <w:szCs w:val="24"/>
          <w:shd w:val="clear" w:color="auto" w:fill="FEFFFF"/>
        </w:rPr>
        <w:t>. En France, en moyenne, apr</w:t>
      </w:r>
      <w:r>
        <w:rPr>
          <w:rFonts w:ascii="Times" w:hAnsi="Times"/>
          <w:sz w:val="24"/>
          <w:szCs w:val="24"/>
          <w:shd w:val="clear" w:color="auto" w:fill="FEFFFF"/>
        </w:rPr>
        <w:t>è</w:t>
      </w:r>
      <w:r>
        <w:rPr>
          <w:rFonts w:ascii="Times" w:hAnsi="Times"/>
          <w:sz w:val="24"/>
          <w:szCs w:val="24"/>
          <w:shd w:val="clear" w:color="auto" w:fill="FEFFFF"/>
        </w:rPr>
        <w:t>s versement des aides (32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400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euros par exploita</w:t>
      </w:r>
      <w:r>
        <w:rPr>
          <w:rFonts w:ascii="Times" w:hAnsi="Times"/>
          <w:sz w:val="24"/>
          <w:szCs w:val="24"/>
          <w:shd w:val="clear" w:color="auto" w:fill="FEFFFF"/>
        </w:rPr>
        <w:t>tion en 2018), leur revenu disponible (apr</w:t>
      </w:r>
      <w:r>
        <w:rPr>
          <w:rFonts w:ascii="Times" w:hAnsi="Times"/>
          <w:sz w:val="24"/>
          <w:szCs w:val="24"/>
          <w:shd w:val="clear" w:color="auto" w:fill="FEFFFF"/>
        </w:rPr>
        <w:t>è</w:t>
      </w:r>
      <w:r>
        <w:rPr>
          <w:rFonts w:ascii="Times" w:hAnsi="Times"/>
          <w:sz w:val="24"/>
          <w:szCs w:val="24"/>
          <w:shd w:val="clear" w:color="auto" w:fill="FEFFFF"/>
        </w:rPr>
        <w:t xml:space="preserve">s paiement de leurs charges) 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tait de 30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000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 xml:space="preserve">euros par an (par actif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temps plein non salari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), avec de fortes dispersions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: la moiti</w:t>
      </w:r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>gagne moins de 21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000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euros et un quart moins de 7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500.</w:t>
      </w:r>
    </w:p>
    <w:p w:rsidR="0020438F" w:rsidRDefault="00196A51">
      <w:pPr>
        <w:pStyle w:val="Default"/>
        <w:spacing w:after="240" w:line="280" w:lineRule="atLeast"/>
        <w:jc w:val="both"/>
        <w:rPr>
          <w:rFonts w:ascii="Times" w:eastAsia="Times" w:hAnsi="Times" w:cs="Times"/>
          <w:sz w:val="24"/>
          <w:szCs w:val="24"/>
          <w:shd w:val="clear" w:color="auto" w:fill="FEFFFF"/>
        </w:rPr>
      </w:pPr>
      <w:r>
        <w:rPr>
          <w:rFonts w:ascii="Times" w:hAnsi="Times"/>
          <w:sz w:val="24"/>
          <w:szCs w:val="24"/>
          <w:shd w:val="clear" w:color="auto" w:fill="FEFFFF"/>
        </w:rPr>
        <w:t>Outre une minorit</w:t>
      </w:r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>de</w:t>
      </w:r>
      <w:r>
        <w:rPr>
          <w:rFonts w:ascii="Times" w:hAnsi="Times"/>
          <w:sz w:val="24"/>
          <w:szCs w:val="24"/>
          <w:shd w:val="clear" w:color="auto" w:fill="FEFFFF"/>
        </w:rPr>
        <w:t xml:space="preserve"> la profession, les subventions de la PAC b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n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 xml:space="preserve">ficient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 xml:space="preserve">amont et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aval. En amont, en soutenant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proofErr w:type="spellStart"/>
      <w:r>
        <w:rPr>
          <w:rFonts w:ascii="Times" w:hAnsi="Times"/>
          <w:sz w:val="24"/>
          <w:szCs w:val="24"/>
          <w:shd w:val="clear" w:color="auto" w:fill="FEFFFF"/>
          <w:lang w:val="en-US"/>
        </w:rPr>
        <w:t>activit</w:t>
      </w:r>
      <w:proofErr w:type="spellEnd"/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>agricole, elles assurent un 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bouch</w:t>
      </w:r>
      <w:r>
        <w:rPr>
          <w:rFonts w:ascii="Times" w:hAnsi="Times"/>
          <w:sz w:val="24"/>
          <w:szCs w:val="24"/>
          <w:shd w:val="clear" w:color="auto" w:fill="FEFFFF"/>
        </w:rPr>
        <w:t xml:space="preserve">é </w:t>
      </w:r>
      <w:r>
        <w:rPr>
          <w:rFonts w:ascii="Times" w:hAnsi="Times"/>
          <w:sz w:val="24"/>
          <w:szCs w:val="24"/>
          <w:shd w:val="clear" w:color="auto" w:fill="FEFFFF"/>
        </w:rPr>
        <w:t>aux marchands de pesticides et d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engrais. En aval, elles permettent de fournir une production bon march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, ce</w:t>
      </w:r>
      <w:r>
        <w:rPr>
          <w:rFonts w:ascii="Times" w:hAnsi="Times"/>
          <w:sz w:val="24"/>
          <w:szCs w:val="24"/>
          <w:shd w:val="clear" w:color="auto" w:fill="FEFFFF"/>
        </w:rPr>
        <w:t xml:space="preserve"> dont profitent les consommateurs et, plus encore,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industrie alimentaire.</w:t>
      </w:r>
    </w:p>
    <w:p w:rsidR="0020438F" w:rsidRDefault="00196A51">
      <w:pPr>
        <w:pStyle w:val="Default"/>
        <w:spacing w:after="299" w:line="440" w:lineRule="atLeast"/>
        <w:rPr>
          <w:rFonts w:ascii="Times" w:eastAsia="Times" w:hAnsi="Times" w:cs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Une agro</w:t>
      </w:r>
      <w:r>
        <w:rPr>
          <w:rFonts w:ascii="Times" w:hAnsi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Times" w:hAnsi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cologie trop peu aid</w:t>
      </w:r>
      <w:r>
        <w:rPr>
          <w:rFonts w:ascii="Times" w:hAnsi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Times" w:hAnsi="Times"/>
          <w:b/>
          <w:bCs/>
          <w:sz w:val="36"/>
          <w:szCs w:val="36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</w:t>
      </w:r>
    </w:p>
    <w:p w:rsidR="0020438F" w:rsidRDefault="00196A51">
      <w:pPr>
        <w:pStyle w:val="Default"/>
        <w:spacing w:after="240" w:line="280" w:lineRule="atLeast"/>
        <w:jc w:val="both"/>
        <w:rPr>
          <w:rFonts w:ascii="Times" w:eastAsia="Times" w:hAnsi="Times" w:cs="Times"/>
          <w:sz w:val="24"/>
          <w:szCs w:val="24"/>
          <w:shd w:val="clear" w:color="auto" w:fill="FEFFFF"/>
        </w:rPr>
      </w:pPr>
      <w:r>
        <w:rPr>
          <w:rFonts w:ascii="Times" w:hAnsi="Times"/>
          <w:sz w:val="24"/>
          <w:szCs w:val="24"/>
          <w:shd w:val="clear" w:color="auto" w:fill="FEFFFF"/>
        </w:rPr>
        <w:t xml:space="preserve">Quant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ces biens publics que sont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environnement et la sant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, ce sont plut</w:t>
      </w:r>
      <w:r>
        <w:rPr>
          <w:rFonts w:ascii="Times" w:hAnsi="Times"/>
          <w:sz w:val="24"/>
          <w:szCs w:val="24"/>
          <w:shd w:val="clear" w:color="auto" w:fill="FEFFFF"/>
        </w:rPr>
        <w:t>ô</w:t>
      </w:r>
      <w:r>
        <w:rPr>
          <w:rFonts w:ascii="Times" w:hAnsi="Times"/>
          <w:sz w:val="24"/>
          <w:szCs w:val="24"/>
          <w:shd w:val="clear" w:color="auto" w:fill="FEFFFF"/>
        </w:rPr>
        <w:t>t des perdants. Les crit</w:t>
      </w:r>
      <w:r>
        <w:rPr>
          <w:rFonts w:ascii="Times" w:hAnsi="Times"/>
          <w:sz w:val="24"/>
          <w:szCs w:val="24"/>
          <w:shd w:val="clear" w:color="auto" w:fill="FEFFFF"/>
        </w:rPr>
        <w:t>è</w:t>
      </w:r>
      <w:r>
        <w:rPr>
          <w:rFonts w:ascii="Times" w:hAnsi="Times"/>
          <w:sz w:val="24"/>
          <w:szCs w:val="24"/>
          <w:shd w:val="clear" w:color="auto" w:fill="FEFFFF"/>
        </w:rPr>
        <w:t xml:space="preserve">res 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cologiques exig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 xml:space="preserve">s pour toucher les aides directes de la PAC (dites du premier pilier) sont trop peu contraignants. Quant aux </w:t>
      </w:r>
      <w:r>
        <w:rPr>
          <w:rFonts w:ascii="Times" w:hAnsi="Times"/>
          <w:sz w:val="24"/>
          <w:szCs w:val="24"/>
          <w:shd w:val="clear" w:color="auto" w:fill="FEFFFF"/>
        </w:rPr>
        <w:t>incitations financi</w:t>
      </w:r>
      <w:r>
        <w:rPr>
          <w:rFonts w:ascii="Times" w:hAnsi="Times"/>
          <w:sz w:val="24"/>
          <w:szCs w:val="24"/>
          <w:shd w:val="clear" w:color="auto" w:fill="FEFFFF"/>
        </w:rPr>
        <w:t>è</w:t>
      </w:r>
      <w:r>
        <w:rPr>
          <w:rFonts w:ascii="Times" w:hAnsi="Times"/>
          <w:sz w:val="24"/>
          <w:szCs w:val="24"/>
          <w:shd w:val="clear" w:color="auto" w:fill="FEFFFF"/>
        </w:rPr>
        <w:t>res pour se tourner vers les bonnes pratiques, comme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agriculture biologique ou l</w:t>
      </w:r>
      <w:r>
        <w:rPr>
          <w:rFonts w:ascii="Times" w:hAnsi="Times"/>
          <w:sz w:val="24"/>
          <w:szCs w:val="24"/>
          <w:shd w:val="clear" w:color="auto" w:fill="FEFFFF"/>
        </w:rPr>
        <w:t>’é</w:t>
      </w:r>
      <w:r>
        <w:rPr>
          <w:rFonts w:ascii="Times" w:hAnsi="Times"/>
          <w:sz w:val="24"/>
          <w:szCs w:val="24"/>
          <w:shd w:val="clear" w:color="auto" w:fill="FEFFFF"/>
        </w:rPr>
        <w:t xml:space="preserve">levage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herbe (les fonds dits du second pilier), elles sont tr</w:t>
      </w:r>
      <w:r>
        <w:rPr>
          <w:rFonts w:ascii="Times" w:hAnsi="Times"/>
          <w:sz w:val="24"/>
          <w:szCs w:val="24"/>
          <w:shd w:val="clear" w:color="auto" w:fill="FEFFFF"/>
        </w:rPr>
        <w:t>è</w:t>
      </w:r>
      <w:r>
        <w:rPr>
          <w:rFonts w:ascii="Times" w:hAnsi="Times"/>
          <w:sz w:val="24"/>
          <w:szCs w:val="24"/>
          <w:shd w:val="clear" w:color="auto" w:fill="FEFFFF"/>
        </w:rPr>
        <w:t xml:space="preserve">s insuffisantes pour massifier les conversions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agro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 xml:space="preserve">cologie. En France, ces aides </w:t>
      </w:r>
      <w:r>
        <w:rPr>
          <w:rFonts w:ascii="Times" w:hAnsi="Times"/>
          <w:sz w:val="24"/>
          <w:szCs w:val="24"/>
          <w:shd w:val="clear" w:color="auto" w:fill="FEFFFF"/>
        </w:rPr>
        <w:t>du second pilier repr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sentent 1,4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milliard d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euros par an en moyenne sur 2014-2020, sur une enveloppe totale de 9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milliards par an.</w:t>
      </w:r>
    </w:p>
    <w:p w:rsidR="0020438F" w:rsidRDefault="00196A51">
      <w:pPr>
        <w:pStyle w:val="Default"/>
        <w:spacing w:after="240" w:line="280" w:lineRule="atLeast"/>
        <w:jc w:val="both"/>
      </w:pPr>
      <w:r>
        <w:rPr>
          <w:rFonts w:ascii="Times" w:hAnsi="Times"/>
          <w:sz w:val="24"/>
          <w:szCs w:val="24"/>
          <w:shd w:val="clear" w:color="auto" w:fill="FEFFFF"/>
        </w:rPr>
        <w:t>La politique europ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enne n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goci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 xml:space="preserve">e </w:t>
      </w:r>
      <w:r>
        <w:rPr>
          <w:rFonts w:ascii="Times" w:hAnsi="Times"/>
          <w:sz w:val="24"/>
          <w:szCs w:val="24"/>
          <w:shd w:val="clear" w:color="auto" w:fill="FEFFFF"/>
        </w:rPr>
        <w:t xml:space="preserve">à </w:t>
      </w:r>
      <w:r>
        <w:rPr>
          <w:rFonts w:ascii="Times" w:hAnsi="Times"/>
          <w:sz w:val="24"/>
          <w:szCs w:val="24"/>
          <w:shd w:val="clear" w:color="auto" w:fill="FEFFFF"/>
        </w:rPr>
        <w:t>27 n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est pas seule en cause. Les Etats membres disposent individuellement de marges de ma</w:t>
      </w:r>
      <w:r>
        <w:rPr>
          <w:rFonts w:ascii="Times" w:hAnsi="Times"/>
          <w:sz w:val="24"/>
          <w:szCs w:val="24"/>
          <w:shd w:val="clear" w:color="auto" w:fill="FEFFFF"/>
        </w:rPr>
        <w:t>n</w:t>
      </w:r>
      <w:r>
        <w:rPr>
          <w:rFonts w:ascii="Times" w:hAnsi="Times"/>
          <w:sz w:val="24"/>
          <w:szCs w:val="24"/>
          <w:shd w:val="clear" w:color="auto" w:fill="FEFFFF"/>
        </w:rPr>
        <w:t>œ</w:t>
      </w:r>
      <w:r>
        <w:rPr>
          <w:rFonts w:ascii="Times" w:hAnsi="Times"/>
          <w:sz w:val="24"/>
          <w:szCs w:val="24"/>
          <w:shd w:val="clear" w:color="auto" w:fill="FEFFFF"/>
        </w:rPr>
        <w:t>uvre importantes dans les modalit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s d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 xml:space="preserve">allocation des aides de </w:t>
      </w:r>
      <w:r>
        <w:rPr>
          <w:rFonts w:ascii="Times" w:hAnsi="Times"/>
          <w:sz w:val="24"/>
          <w:szCs w:val="24"/>
          <w:shd w:val="clear" w:color="auto" w:fill="FEFFFF"/>
        </w:rPr>
        <w:lastRenderedPageBreak/>
        <w:t>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UE et m</w:t>
      </w:r>
      <w:r>
        <w:rPr>
          <w:rFonts w:ascii="Times" w:hAnsi="Times"/>
          <w:sz w:val="24"/>
          <w:szCs w:val="24"/>
          <w:shd w:val="clear" w:color="auto" w:fill="FEFFFF"/>
        </w:rPr>
        <w:t>ê</w:t>
      </w:r>
      <w:r>
        <w:rPr>
          <w:rFonts w:ascii="Times" w:hAnsi="Times"/>
          <w:sz w:val="24"/>
          <w:szCs w:val="24"/>
          <w:shd w:val="clear" w:color="auto" w:fill="FEFFFF"/>
        </w:rPr>
        <w:t>me dans la fixation de leur volume (puisque les aides du second pilier sont cofinanc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es par les budgets nationaux). Ces latitudes seront encore plus importantes demain. A partir de l</w:t>
      </w:r>
      <w:r>
        <w:rPr>
          <w:rFonts w:ascii="Times" w:hAnsi="Times"/>
          <w:sz w:val="24"/>
          <w:szCs w:val="24"/>
          <w:shd w:val="clear" w:color="auto" w:fill="FEFFFF"/>
        </w:rPr>
        <w:t>a nouvelle p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riode budg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taire qui s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ouvre, les Etats membres vont devoir 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finir leurs propres plans d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action et moyens pour atteindre des objectifs g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n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raux fix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s au niveau communautaire. C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>est l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</w:rPr>
        <w:t xml:space="preserve">objet du </w:t>
      </w:r>
      <w:hyperlink r:id="rId10" w:history="1">
        <w:r>
          <w:rPr>
            <w:rFonts w:ascii="Times" w:hAnsi="Times"/>
            <w:sz w:val="24"/>
            <w:szCs w:val="24"/>
            <w:shd w:val="clear" w:color="auto" w:fill="FEFFFF"/>
          </w:rPr>
          <w:t>d</w:t>
        </w:r>
        <w:r>
          <w:rPr>
            <w:rFonts w:ascii="Times" w:hAnsi="Times"/>
            <w:sz w:val="24"/>
            <w:szCs w:val="24"/>
            <w:shd w:val="clear" w:color="auto" w:fill="FEFFFF"/>
          </w:rPr>
          <w:t>é</w:t>
        </w:r>
        <w:r>
          <w:rPr>
            <w:rFonts w:ascii="Times" w:hAnsi="Times"/>
            <w:sz w:val="24"/>
            <w:szCs w:val="24"/>
            <w:shd w:val="clear" w:color="auto" w:fill="FEFFFF"/>
          </w:rPr>
          <w:t>bat public</w:t>
        </w:r>
      </w:hyperlink>
      <w:r>
        <w:rPr>
          <w:rFonts w:ascii="Times" w:hAnsi="Times"/>
          <w:sz w:val="24"/>
          <w:szCs w:val="24"/>
          <w:shd w:val="clear" w:color="auto" w:fill="FEFFFF"/>
        </w:rPr>
        <w:t xml:space="preserve"> sur la politique agricole de la France, ouvert le dimanche 23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f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vrier sous l</w:t>
      </w:r>
      <w:r>
        <w:rPr>
          <w:rFonts w:ascii="Times" w:hAnsi="Times"/>
          <w:sz w:val="24"/>
          <w:szCs w:val="24"/>
          <w:shd w:val="clear" w:color="auto" w:fill="FEFFFF"/>
        </w:rPr>
        <w:t>’é</w:t>
      </w:r>
      <w:r>
        <w:rPr>
          <w:rFonts w:ascii="Times" w:hAnsi="Times"/>
          <w:sz w:val="24"/>
          <w:szCs w:val="24"/>
          <w:shd w:val="clear" w:color="auto" w:fill="FEFFFF"/>
        </w:rPr>
        <w:t>gide de la Commission nationale du d</w:t>
      </w:r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bat public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>(CNDP) et qui s</w:t>
      </w:r>
      <w:r>
        <w:rPr>
          <w:rFonts w:ascii="Times" w:hAnsi="Times"/>
          <w:sz w:val="24"/>
          <w:szCs w:val="24"/>
          <w:shd w:val="clear" w:color="auto" w:fill="FEFFFF"/>
        </w:rPr>
        <w:t>’</w:t>
      </w:r>
      <w:r>
        <w:rPr>
          <w:rFonts w:ascii="Times" w:hAnsi="Times"/>
          <w:sz w:val="24"/>
          <w:szCs w:val="24"/>
          <w:shd w:val="clear" w:color="auto" w:fill="FEFFFF"/>
          <w:lang w:val="de-DE"/>
        </w:rPr>
        <w:t>ach</w:t>
      </w:r>
      <w:proofErr w:type="spellStart"/>
      <w:r>
        <w:rPr>
          <w:rFonts w:ascii="Times" w:hAnsi="Times"/>
          <w:sz w:val="24"/>
          <w:szCs w:val="24"/>
          <w:shd w:val="clear" w:color="auto" w:fill="FEFFFF"/>
        </w:rPr>
        <w:t>è</w:t>
      </w:r>
      <w:r>
        <w:rPr>
          <w:rFonts w:ascii="Times" w:hAnsi="Times"/>
          <w:sz w:val="24"/>
          <w:szCs w:val="24"/>
          <w:shd w:val="clear" w:color="auto" w:fill="FEFFFF"/>
        </w:rPr>
        <w:t>vera</w:t>
      </w:r>
      <w:proofErr w:type="spellEnd"/>
      <w:r>
        <w:rPr>
          <w:rFonts w:ascii="Times" w:hAnsi="Times"/>
          <w:sz w:val="24"/>
          <w:szCs w:val="24"/>
          <w:shd w:val="clear" w:color="auto" w:fill="FEFFFF"/>
        </w:rPr>
        <w:t xml:space="preserve"> dans trois mois. Il va </w:t>
      </w:r>
      <w:r>
        <w:rPr>
          <w:rFonts w:ascii="Times" w:hAnsi="Times"/>
          <w:sz w:val="24"/>
          <w:szCs w:val="24"/>
          <w:shd w:val="clear" w:color="auto" w:fill="FEFFFF"/>
        </w:rPr>
        <w:t>ê</w:t>
      </w:r>
      <w:r>
        <w:rPr>
          <w:rFonts w:ascii="Times" w:hAnsi="Times"/>
          <w:sz w:val="24"/>
          <w:szCs w:val="24"/>
          <w:shd w:val="clear" w:color="auto" w:fill="FEFFFF"/>
          <w:lang w:val="it-IT"/>
        </w:rPr>
        <w:t>tre difficile, d</w:t>
      </w:r>
      <w:proofErr w:type="spellStart"/>
      <w:r>
        <w:rPr>
          <w:rFonts w:ascii="Times" w:hAnsi="Times"/>
          <w:sz w:val="24"/>
          <w:szCs w:val="24"/>
          <w:shd w:val="clear" w:color="auto" w:fill="FEFFFF"/>
        </w:rPr>
        <w:t>é</w:t>
      </w:r>
      <w:r>
        <w:rPr>
          <w:rFonts w:ascii="Times" w:hAnsi="Times"/>
          <w:sz w:val="24"/>
          <w:szCs w:val="24"/>
          <w:shd w:val="clear" w:color="auto" w:fill="FEFFFF"/>
        </w:rPr>
        <w:t>sormais</w:t>
      </w:r>
      <w:proofErr w:type="spellEnd"/>
      <w:r>
        <w:rPr>
          <w:rFonts w:ascii="Times" w:hAnsi="Times"/>
          <w:sz w:val="24"/>
          <w:szCs w:val="24"/>
          <w:shd w:val="clear" w:color="auto" w:fill="FEFFFF"/>
        </w:rPr>
        <w:t>, de dire</w:t>
      </w:r>
      <w:r>
        <w:rPr>
          <w:rFonts w:ascii="Times" w:hAnsi="Times"/>
          <w:sz w:val="24"/>
          <w:szCs w:val="24"/>
          <w:shd w:val="clear" w:color="auto" w:fill="FEFFFF"/>
        </w:rPr>
        <w:t> </w:t>
      </w:r>
      <w:r>
        <w:rPr>
          <w:rFonts w:ascii="Times" w:hAnsi="Times"/>
          <w:sz w:val="24"/>
          <w:szCs w:val="24"/>
          <w:shd w:val="clear" w:color="auto" w:fill="FEFFFF"/>
        </w:rPr>
        <w:t xml:space="preserve">: 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« 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C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’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est la faute de Bruxelles.</w:t>
      </w:r>
      <w:r>
        <w:rPr>
          <w:rStyle w:val="None"/>
          <w:rFonts w:ascii="Times" w:hAnsi="Times"/>
          <w:i/>
          <w:iCs/>
          <w:sz w:val="24"/>
          <w:szCs w:val="24"/>
          <w:shd w:val="clear" w:color="auto" w:fill="FEFFFF"/>
        </w:rPr>
        <w:t> »</w:t>
      </w:r>
    </w:p>
    <w:sectPr w:rsidR="0020438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51" w:rsidRDefault="00196A51">
      <w:r>
        <w:separator/>
      </w:r>
    </w:p>
  </w:endnote>
  <w:endnote w:type="continuationSeparator" w:id="0">
    <w:p w:rsidR="00196A51" w:rsidRDefault="001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8F" w:rsidRDefault="002043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51" w:rsidRDefault="00196A51">
      <w:r>
        <w:separator/>
      </w:r>
    </w:p>
  </w:footnote>
  <w:footnote w:type="continuationSeparator" w:id="0">
    <w:p w:rsidR="00196A51" w:rsidRDefault="00196A51">
      <w:r>
        <w:continuationSeparator/>
      </w:r>
    </w:p>
  </w:footnote>
  <w:footnote w:type="continuationNotice" w:id="1">
    <w:p w:rsidR="00196A51" w:rsidRDefault="00196A51"/>
  </w:footnote>
  <w:footnote w:id="2">
    <w:p w:rsidR="0020438F" w:rsidRDefault="00196A51">
      <w:pPr>
        <w:pStyle w:val="Footnote"/>
      </w:pPr>
      <w:r>
        <w:rPr>
          <w:rStyle w:val="None"/>
          <w:rFonts w:ascii="Times" w:eastAsia="Times" w:hAnsi="Times" w:cs="Times"/>
          <w:sz w:val="20"/>
          <w:szCs w:val="20"/>
          <w:vertAlign w:val="superscript"/>
        </w:rPr>
        <w:footnoteRef/>
      </w:r>
      <w:r>
        <w:rPr>
          <w:rFonts w:ascii="Times" w:hAnsi="Times"/>
          <w:sz w:val="20"/>
          <w:szCs w:val="20"/>
        </w:rPr>
        <w:t xml:space="preserve"> La proposition de 2018 repr</w:t>
      </w:r>
      <w:r>
        <w:rPr>
          <w:rFonts w:ascii="Times" w:hAnsi="Times"/>
          <w:sz w:val="20"/>
          <w:szCs w:val="20"/>
        </w:rPr>
        <w:t>é</w:t>
      </w:r>
      <w:r>
        <w:rPr>
          <w:rFonts w:ascii="Times" w:hAnsi="Times"/>
          <w:sz w:val="20"/>
          <w:szCs w:val="20"/>
        </w:rPr>
        <w:t>sentait une baisse estim</w:t>
      </w:r>
      <w:r>
        <w:rPr>
          <w:rFonts w:ascii="Times" w:hAnsi="Times"/>
          <w:sz w:val="20"/>
          <w:szCs w:val="20"/>
        </w:rPr>
        <w:t>é</w:t>
      </w:r>
      <w:r>
        <w:rPr>
          <w:rFonts w:ascii="Times" w:hAnsi="Times"/>
          <w:sz w:val="20"/>
          <w:szCs w:val="20"/>
        </w:rPr>
        <w:t xml:space="preserve">e </w:t>
      </w:r>
      <w:r>
        <w:rPr>
          <w:rFonts w:ascii="Times" w:hAnsi="Times"/>
          <w:sz w:val="20"/>
          <w:szCs w:val="20"/>
        </w:rPr>
        <w:t xml:space="preserve">à </w:t>
      </w:r>
      <w:r>
        <w:rPr>
          <w:rFonts w:ascii="Times" w:hAnsi="Times"/>
          <w:sz w:val="20"/>
          <w:szCs w:val="20"/>
        </w:rPr>
        <w:t>15</w:t>
      </w:r>
      <w:r>
        <w:rPr>
          <w:rFonts w:ascii="Times" w:hAnsi="Times"/>
          <w:sz w:val="20"/>
          <w:szCs w:val="20"/>
        </w:rPr>
        <w:t> </w:t>
      </w:r>
      <w:r>
        <w:rPr>
          <w:rFonts w:ascii="Times" w:hAnsi="Times"/>
          <w:sz w:val="20"/>
          <w:szCs w:val="20"/>
        </w:rPr>
        <w:t xml:space="preserve">% </w:t>
      </w:r>
      <w:r>
        <w:rPr>
          <w:rFonts w:ascii="Times" w:hAnsi="Times"/>
          <w:sz w:val="20"/>
          <w:szCs w:val="20"/>
        </w:rPr>
        <w:t xml:space="preserve">à </w:t>
      </w:r>
      <w:r>
        <w:rPr>
          <w:rFonts w:ascii="Times" w:hAnsi="Times"/>
          <w:sz w:val="20"/>
          <w:szCs w:val="20"/>
        </w:rPr>
        <w:t>p</w:t>
      </w:r>
      <w:r>
        <w:rPr>
          <w:rFonts w:ascii="Times" w:hAnsi="Times"/>
          <w:sz w:val="20"/>
          <w:szCs w:val="20"/>
        </w:rPr>
        <w:t>é</w:t>
      </w:r>
      <w:r>
        <w:rPr>
          <w:rFonts w:ascii="Times" w:hAnsi="Times"/>
          <w:sz w:val="20"/>
          <w:szCs w:val="20"/>
        </w:rPr>
        <w:t>rim</w:t>
      </w:r>
      <w:r>
        <w:rPr>
          <w:rFonts w:ascii="Times" w:hAnsi="Times"/>
          <w:sz w:val="20"/>
          <w:szCs w:val="20"/>
        </w:rPr>
        <w:t>è</w:t>
      </w:r>
      <w:r>
        <w:rPr>
          <w:rFonts w:ascii="Times" w:hAnsi="Times"/>
          <w:sz w:val="20"/>
          <w:szCs w:val="20"/>
        </w:rPr>
        <w:t xml:space="preserve">tre </w:t>
      </w:r>
      <w:r>
        <w:rPr>
          <w:rFonts w:ascii="Times" w:hAnsi="Times"/>
          <w:sz w:val="20"/>
          <w:szCs w:val="20"/>
        </w:rPr>
        <w:t>é</w:t>
      </w:r>
      <w:r>
        <w:rPr>
          <w:rFonts w:ascii="Times" w:hAnsi="Times"/>
          <w:sz w:val="20"/>
          <w:szCs w:val="20"/>
          <w:lang w:val="pt-PT"/>
        </w:rPr>
        <w:t>gal (27</w:t>
      </w:r>
      <w:r>
        <w:rPr>
          <w:rFonts w:ascii="Times" w:hAnsi="Times"/>
          <w:sz w:val="20"/>
          <w:szCs w:val="20"/>
        </w:rPr>
        <w:t> </w:t>
      </w:r>
      <w:r>
        <w:rPr>
          <w:rFonts w:ascii="Times" w:hAnsi="Times"/>
          <w:sz w:val="20"/>
          <w:szCs w:val="20"/>
        </w:rPr>
        <w:t>pays) et hors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8F" w:rsidRDefault="002043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F"/>
    <w:rsid w:val="00196A51"/>
    <w:rsid w:val="0020438F"/>
    <w:rsid w:val="005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018DC-AAE8-4DEC-A56B-5C63340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none"/>
      <w:shd w:val="clear" w:color="auto" w:fill="FE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ood-farming-fisheries/farming/facts-and-figures/performance-agricultural-policy/studies-and-reports/policy-analyses-and-briefs_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parl.europa.eu/RegData/etudes/IDAN/2018/625148/EPRS_IDA(2018)625148_FR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ernatives-economiques.fr/users/antoine-de-ravigna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mpactons.debatpublic.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greste.agriculture.gouv.fr/agreste-web/download/publication/publie/DOS201/Dossier2020-1_CCAN_Janvier2020v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VINCENT</dc:creator>
  <cp:lastModifiedBy>Laurence VINCENT</cp:lastModifiedBy>
  <cp:revision>2</cp:revision>
  <dcterms:created xsi:type="dcterms:W3CDTF">2020-03-03T10:03:00Z</dcterms:created>
  <dcterms:modified xsi:type="dcterms:W3CDTF">2020-03-03T10:03:00Z</dcterms:modified>
</cp:coreProperties>
</file>