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55" w:rsidRDefault="00285CA7">
      <w:pPr>
        <w:pStyle w:val="Corps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é</w:t>
      </w:r>
      <w:r>
        <w:rPr>
          <w:rFonts w:ascii="Times New Roman" w:hAnsi="Times New Roman"/>
          <w:b/>
          <w:bCs/>
          <w:sz w:val="28"/>
          <w:szCs w:val="28"/>
        </w:rPr>
        <w:t>gulation bancaire europ</w:t>
      </w:r>
      <w:r>
        <w:rPr>
          <w:rFonts w:ascii="Times New Roman" w:hAnsi="Times New Roman"/>
          <w:b/>
          <w:bCs/>
          <w:sz w:val="28"/>
          <w:szCs w:val="28"/>
        </w:rPr>
        <w:t>é</w:t>
      </w:r>
      <w:r>
        <w:rPr>
          <w:rFonts w:ascii="Times New Roman" w:hAnsi="Times New Roman"/>
          <w:b/>
          <w:bCs/>
          <w:sz w:val="28"/>
          <w:szCs w:val="28"/>
        </w:rPr>
        <w:t>enne : quand l</w:t>
      </w:r>
      <w:r>
        <w:rPr>
          <w:rFonts w:ascii="Times New Roman" w:hAnsi="Times New Roman"/>
          <w:b/>
          <w:bCs/>
          <w:sz w:val="28"/>
          <w:szCs w:val="28"/>
        </w:rPr>
        <w:t>’</w:t>
      </w:r>
      <w:r>
        <w:rPr>
          <w:rFonts w:ascii="Times New Roman" w:hAnsi="Times New Roman"/>
          <w:b/>
          <w:bCs/>
          <w:sz w:val="28"/>
          <w:szCs w:val="28"/>
        </w:rPr>
        <w:t>union fait la force</w:t>
      </w:r>
    </w:p>
    <w:p w:rsidR="00436C55" w:rsidRDefault="00285CA7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mars 2017</w:t>
      </w:r>
    </w:p>
    <w:p w:rsidR="00436C55" w:rsidRDefault="00285CA7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par</w:t>
      </w:r>
      <w:proofErr w:type="gramEnd"/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line Antonin, Sandrine Levasseur et Vincent </w:t>
      </w:r>
      <w:proofErr w:type="spellStart"/>
      <w:r>
        <w:rPr>
          <w:rFonts w:ascii="Times New Roman" w:hAnsi="Times New Roman"/>
          <w:sz w:val="24"/>
          <w:szCs w:val="24"/>
        </w:rPr>
        <w:t>Touz</w:t>
      </w:r>
      <w:r>
        <w:rPr>
          <w:rFonts w:ascii="Times New Roman" w:hAnsi="Times New Roman"/>
          <w:sz w:val="24"/>
          <w:szCs w:val="24"/>
        </w:rPr>
        <w:t>é</w:t>
      </w:r>
      <w:proofErr w:type="spellEnd"/>
    </w:p>
    <w:p w:rsidR="00436C55" w:rsidRDefault="00436C5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C55" w:rsidRDefault="00285CA7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heure o</w:t>
      </w:r>
      <w:r>
        <w:rPr>
          <w:rFonts w:ascii="Times New Roman" w:hAnsi="Times New Roman"/>
          <w:sz w:val="24"/>
          <w:szCs w:val="24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rique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>appr</w:t>
      </w:r>
      <w:proofErr w:type="spellStart"/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>, sous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impulsion de son nouveau pr</w:t>
      </w:r>
      <w:r>
        <w:rPr>
          <w:rFonts w:ascii="Times New Roman" w:hAnsi="Times New Roman"/>
          <w:sz w:val="24"/>
          <w:szCs w:val="24"/>
        </w:rPr>
        <w:t>é</w:t>
      </w:r>
      <w:r w:rsidRPr="00965118">
        <w:rPr>
          <w:rFonts w:ascii="Times New Roman" w:hAnsi="Times New Roman"/>
          <w:sz w:val="24"/>
          <w:szCs w:val="24"/>
        </w:rPr>
        <w:t xml:space="preserve">sident Donald Trump,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mettre fin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  <w:lang w:val="it-IT"/>
        </w:rPr>
        <w:t>la r</w:t>
      </w:r>
      <w:proofErr w:type="spellStart"/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gulation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bancaire adopt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en 2010 par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administration Obama,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Europe entame une </w:t>
      </w:r>
      <w:proofErr w:type="spellStart"/>
      <w:r>
        <w:rPr>
          <w:rFonts w:ascii="Times New Roman" w:hAnsi="Times New Roman"/>
          <w:sz w:val="24"/>
          <w:szCs w:val="24"/>
        </w:rPr>
        <w:t>troisi</w:t>
      </w:r>
      <w:r>
        <w:rPr>
          <w:rFonts w:ascii="Times New Roman" w:hAnsi="Times New Roman"/>
          <w:sz w:val="24"/>
          <w:szCs w:val="24"/>
        </w:rPr>
        <w:t>è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me ann</w:t>
      </w:r>
      <w:proofErr w:type="spellStart"/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Union bancaire (Antonin et </w:t>
      </w:r>
      <w:proofErr w:type="gramStart"/>
      <w:r>
        <w:rPr>
          <w:rFonts w:ascii="Times New Roman" w:hAnsi="Times New Roman"/>
          <w:sz w:val="24"/>
          <w:szCs w:val="24"/>
        </w:rPr>
        <w:t>al.,</w:t>
      </w:r>
      <w:proofErr w:type="gramEnd"/>
      <w:r>
        <w:rPr>
          <w:rFonts w:ascii="Times New Roman" w:hAnsi="Times New Roman"/>
          <w:sz w:val="24"/>
          <w:szCs w:val="24"/>
        </w:rPr>
        <w:t xml:space="preserve"> 2017) et se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 xml:space="preserve">pare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>arriv</w:t>
      </w:r>
      <w:proofErr w:type="spellStart"/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une nouvelle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glementation prudentielle.</w:t>
      </w:r>
    </w:p>
    <w:p w:rsidR="00436C55" w:rsidRDefault="00436C5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C55" w:rsidRDefault="00285CA7">
      <w:pPr>
        <w:pStyle w:val="Corps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est-ce que l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Union bancaire ?</w:t>
      </w:r>
    </w:p>
    <w:p w:rsidR="00436C55" w:rsidRDefault="00285CA7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Depuis novembre 2014,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Union bancaire pose un cadre unifi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qui permet de renforcer la stabilit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financi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re dans la zone </w:t>
      </w:r>
      <w:proofErr w:type="gramStart"/>
      <w:r>
        <w:rPr>
          <w:rFonts w:ascii="Times New Roman" w:hAnsi="Times New Roman"/>
          <w:sz w:val="24"/>
          <w:szCs w:val="24"/>
        </w:rPr>
        <w:t>euro[</w:t>
      </w:r>
      <w:proofErr w:type="gramEnd"/>
      <w:r>
        <w:rPr>
          <w:rFonts w:ascii="Times New Roman" w:hAnsi="Times New Roman"/>
          <w:sz w:val="24"/>
          <w:szCs w:val="24"/>
        </w:rPr>
        <w:t>2]. Son objectif est triple :</w:t>
      </w:r>
    </w:p>
    <w:p w:rsidR="00436C55" w:rsidRDefault="00285CA7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Garantir la robustesse et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sistance des banques ;</w:t>
      </w:r>
    </w:p>
    <w:p w:rsidR="00436C55" w:rsidRDefault="00285CA7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Eviter le renflouement des banques en faillite par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argent </w:t>
      </w:r>
      <w:r>
        <w:rPr>
          <w:rFonts w:ascii="Times New Roman" w:hAnsi="Times New Roman"/>
          <w:sz w:val="24"/>
          <w:szCs w:val="24"/>
        </w:rPr>
        <w:t>public ;</w:t>
      </w:r>
    </w:p>
    <w:p w:rsidR="00436C55" w:rsidRDefault="00285CA7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Harmoniser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glementation pour une meilleure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gulation et surveillance publique.</w:t>
      </w:r>
    </w:p>
    <w:p w:rsidR="00436C55" w:rsidRDefault="00285CA7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Cette Union est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aboutissement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 long chemin de coordination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glementaire parcouru depuis la libre circulation des capitaux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vu par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article 67 du Trait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de Rome (1957) : </w:t>
      </w:r>
      <w:r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les Etats membres suppriment progressivement entre eux, pendant la 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riode de transition et dans la mesure 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cessaire au bon fonctionnement du march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commun, les restrictions aux mouvements des capitaux appartenant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des personnes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dant dans les Etats membres, ainsi que les discriminations de traitement fond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es sur la nationalit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ou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sidence des parties, ou sur la localisation du placement </w:t>
      </w:r>
      <w:r>
        <w:rPr>
          <w:rFonts w:ascii="Times New Roman" w:hAnsi="Times New Roman"/>
          <w:sz w:val="24"/>
          <w:szCs w:val="24"/>
          <w:lang w:val="it-IT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36C55" w:rsidRDefault="00285CA7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Union bancaire est 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de la crise. Si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acte unique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en de 1986 et la directive </w:t>
      </w:r>
      <w:r>
        <w:rPr>
          <w:rFonts w:ascii="Times New Roman" w:hAnsi="Times New Roman"/>
          <w:sz w:val="24"/>
          <w:szCs w:val="24"/>
        </w:rPr>
        <w:t>de 1988 ont permis une entr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en vigueur en 1990 de la libre circulation des capitaux, la crise financi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 de 2008 a montr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que le manque de coordination en Europe dans le domaine bancaire pouvait 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tre une faiblesse.</w:t>
      </w:r>
    </w:p>
    <w:p w:rsidR="00436C55" w:rsidRDefault="00436C5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C55" w:rsidRDefault="00285CA7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effet, les enseignements de la </w:t>
      </w:r>
      <w:r>
        <w:rPr>
          <w:rFonts w:ascii="Times New Roman" w:hAnsi="Times New Roman"/>
          <w:sz w:val="24"/>
          <w:szCs w:val="24"/>
        </w:rPr>
        <w:t>crise financi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 sont triples :</w:t>
      </w:r>
    </w:p>
    <w:p w:rsidR="00436C55" w:rsidRDefault="00285CA7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Un syst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me bancaire et financier mal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gul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  <w:lang w:val="pt-PT"/>
        </w:rPr>
        <w:t>(cas am</w:t>
      </w:r>
      <w:proofErr w:type="spellStart"/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ricain</w:t>
      </w:r>
      <w:proofErr w:type="spellEnd"/>
      <w:r>
        <w:rPr>
          <w:rFonts w:ascii="Times New Roman" w:hAnsi="Times New Roman"/>
          <w:sz w:val="24"/>
          <w:szCs w:val="24"/>
        </w:rPr>
        <w:t xml:space="preserve">) peut 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tre dangereux pour le bon fonctionnement de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conomie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elle, dans ce pays mais aussi au-del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;</w:t>
      </w:r>
    </w:p>
    <w:p w:rsidR="00436C55" w:rsidRDefault="00285CA7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Une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glementation et une surveillance trop limit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e vision nationale (cas des pays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ens) ne sont pas efficaces dans un contexte o</w:t>
      </w:r>
      <w:r>
        <w:rPr>
          <w:rFonts w:ascii="Times New Roman" w:hAnsi="Times New Roman"/>
          <w:sz w:val="24"/>
          <w:szCs w:val="24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</w:rPr>
        <w:t>les mouvements de capitaux sont mondialis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et o</w:t>
      </w:r>
      <w:r>
        <w:rPr>
          <w:rFonts w:ascii="Times New Roman" w:hAnsi="Times New Roman"/>
          <w:sz w:val="24"/>
          <w:szCs w:val="24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</w:rPr>
        <w:t>de nombreuses 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rations financi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res sont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alis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es en dehors des fronti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res nationales ;</w:t>
      </w:r>
    </w:p>
    <w:p w:rsidR="00436C55" w:rsidRDefault="00285CA7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Les crises bancaire et souve</w:t>
      </w:r>
      <w:r>
        <w:rPr>
          <w:rFonts w:ascii="Times New Roman" w:hAnsi="Times New Roman"/>
          <w:sz w:val="24"/>
          <w:szCs w:val="24"/>
        </w:rPr>
        <w:t>raine sont li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es (Antonin et </w:t>
      </w:r>
      <w:proofErr w:type="spellStart"/>
      <w:r>
        <w:rPr>
          <w:rFonts w:ascii="Times New Roman" w:hAnsi="Times New Roman"/>
          <w:sz w:val="24"/>
          <w:szCs w:val="24"/>
        </w:rPr>
        <w:t>Touz</w:t>
      </w:r>
      <w:r>
        <w:rPr>
          <w:rFonts w:ascii="Times New Roman" w:hAnsi="Times New Roman"/>
          <w:sz w:val="24"/>
          <w:szCs w:val="24"/>
        </w:rPr>
        <w:t>é</w:t>
      </w:r>
      <w:proofErr w:type="spellEnd"/>
      <w:r>
        <w:rPr>
          <w:rFonts w:ascii="Times New Roman" w:hAnsi="Times New Roman"/>
          <w:sz w:val="24"/>
          <w:szCs w:val="24"/>
        </w:rPr>
        <w:t>, 2013b):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 c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 le renflouement des banques par des fonds publics creuse les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ficits publics, ce qui fragilise les Etats tandis que la difficile soutenabilit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des dettes publiques affaiblit les banques qui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tiennent</w:t>
      </w:r>
      <w:r>
        <w:rPr>
          <w:rFonts w:ascii="Times New Roman" w:hAnsi="Times New Roman"/>
          <w:sz w:val="24"/>
          <w:szCs w:val="24"/>
        </w:rPr>
        <w:t xml:space="preserve"> ces titres de dette dans leurs fonds propres.</w:t>
      </w:r>
    </w:p>
    <w:p w:rsidR="00436C55" w:rsidRDefault="00285CA7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Union bancaire donne un cadre juridique et institutionnel au secteur bancaire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en qui repose sur trois piliers :</w:t>
      </w:r>
    </w:p>
    <w:p w:rsidR="00436C55" w:rsidRDefault="00285CA7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La banque centrale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enne (BCE) devient le superviseur unique des grands groupes </w:t>
      </w:r>
      <w:r>
        <w:rPr>
          <w:rFonts w:ascii="Times New Roman" w:hAnsi="Times New Roman"/>
          <w:sz w:val="24"/>
          <w:szCs w:val="24"/>
        </w:rPr>
        <w:t>bancaires ;</w:t>
      </w:r>
    </w:p>
    <w:p w:rsidR="00436C55" w:rsidRDefault="00285CA7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Une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gulation unique des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faillances bancaires instaure un fonds commun de renflouement (Fonds de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solution unique) et interdit le recours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un financement public national ;</w:t>
      </w:r>
    </w:p>
    <w:p w:rsidR="00436C55" w:rsidRDefault="00285CA7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Un fond commun doit permettre,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horizon 2024 et sous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erve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>accord d</w:t>
      </w:r>
      <w:proofErr w:type="spellStart"/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finitif</w:t>
      </w:r>
      <w:proofErr w:type="spellEnd"/>
      <w:r>
        <w:rPr>
          <w:rFonts w:ascii="Times New Roman" w:hAnsi="Times New Roman"/>
          <w:sz w:val="24"/>
          <w:szCs w:val="24"/>
        </w:rPr>
        <w:t xml:space="preserve">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ensemble des membres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Union bancaire, de garantir les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ts bancaires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tenus par les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nages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ens jusqu</w:t>
      </w:r>
      <w:r>
        <w:rPr>
          <w:rFonts w:ascii="Times New Roman" w:hAnsi="Times New Roman"/>
          <w:sz w:val="24"/>
          <w:szCs w:val="24"/>
        </w:rPr>
        <w:t xml:space="preserve">’à </w:t>
      </w:r>
      <w:r>
        <w:rPr>
          <w:rFonts w:ascii="Times New Roman" w:hAnsi="Times New Roman"/>
          <w:sz w:val="24"/>
          <w:szCs w:val="24"/>
          <w:lang w:val="pt-PT"/>
        </w:rPr>
        <w:t>100 000 euros, d</w:t>
      </w:r>
      <w:proofErr w:type="spellStart"/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ts</w:t>
      </w:r>
      <w:proofErr w:type="spellEnd"/>
      <w:r>
        <w:rPr>
          <w:rFonts w:ascii="Times New Roman" w:hAnsi="Times New Roman"/>
          <w:sz w:val="24"/>
          <w:szCs w:val="24"/>
        </w:rPr>
        <w:t xml:space="preserve"> garantis par chacun des Etats depuis 2010.</w:t>
      </w:r>
    </w:p>
    <w:p w:rsidR="00436C55" w:rsidRDefault="00436C5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C55" w:rsidRDefault="00285CA7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Union bancaire 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est pas totalement achev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e.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adoption du troisi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me pilier prend du retard du fait des probl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mes bancaires grec et italien qui ne sont pas totalement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solus en raison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un risque encore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lev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faut sur des cr</w:t>
      </w:r>
      <w:r>
        <w:rPr>
          <w:rFonts w:ascii="Times New Roman" w:hAnsi="Times New Roman"/>
          <w:sz w:val="24"/>
          <w:szCs w:val="24"/>
        </w:rPr>
        <w:t>é</w:t>
      </w:r>
      <w:r w:rsidRPr="00965118">
        <w:rPr>
          <w:rFonts w:ascii="Times New Roman" w:hAnsi="Times New Roman"/>
          <w:sz w:val="24"/>
          <w:szCs w:val="24"/>
        </w:rPr>
        <w:t>dits accord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s. La garantie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enne des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ô</w:t>
      </w:r>
      <w:r w:rsidRPr="00965118"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devra attendre q</w:t>
      </w:r>
      <w:r>
        <w:rPr>
          <w:rFonts w:ascii="Times New Roman" w:hAnsi="Times New Roman"/>
          <w:sz w:val="24"/>
          <w:szCs w:val="24"/>
        </w:rPr>
        <w:t>ue des progr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suffisants soient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alis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dans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duction et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homog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isation des risques bancaires </w:t>
      </w:r>
      <w:r>
        <w:rPr>
          <w:rFonts w:ascii="Times New Roman" w:hAnsi="Times New Roman"/>
          <w:sz w:val="24"/>
          <w:szCs w:val="24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(Antonin et </w:t>
      </w:r>
      <w:proofErr w:type="gramStart"/>
      <w:r>
        <w:rPr>
          <w:rFonts w:ascii="Times New Roman" w:hAnsi="Times New Roman"/>
          <w:sz w:val="24"/>
          <w:szCs w:val="24"/>
        </w:rPr>
        <w:t>al.,</w:t>
      </w:r>
      <w:proofErr w:type="gramEnd"/>
      <w:r>
        <w:rPr>
          <w:rFonts w:ascii="Times New Roman" w:hAnsi="Times New Roman"/>
          <w:sz w:val="24"/>
          <w:szCs w:val="24"/>
        </w:rPr>
        <w:t xml:space="preserve"> 2017).</w:t>
      </w:r>
    </w:p>
    <w:p w:rsidR="00436C55" w:rsidRDefault="00436C5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C55" w:rsidRDefault="00285CA7">
      <w:pPr>
        <w:pStyle w:val="Corps"/>
        <w:spacing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Vers une r</w:t>
      </w:r>
      <w:r>
        <w:rPr>
          <w:rFonts w:ascii="Times New Roman" w:hAnsi="Times New Roman"/>
          <w:b/>
          <w:bCs/>
          <w:sz w:val="24"/>
          <w:szCs w:val="24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gulation et une stabilit</w:t>
      </w:r>
      <w:r>
        <w:rPr>
          <w:rFonts w:ascii="Times New Roman" w:hAnsi="Times New Roman"/>
          <w:b/>
          <w:bCs/>
          <w:sz w:val="24"/>
          <w:szCs w:val="24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financi</w:t>
      </w:r>
      <w:r>
        <w:rPr>
          <w:rFonts w:ascii="Times New Roman" w:hAnsi="Times New Roman"/>
          <w:b/>
          <w:bCs/>
          <w:sz w:val="24"/>
          <w:szCs w:val="24"/>
        </w:rPr>
        <w:t>è</w:t>
      </w:r>
      <w:r>
        <w:rPr>
          <w:rFonts w:ascii="Times New Roman" w:hAnsi="Times New Roman"/>
          <w:b/>
          <w:bCs/>
          <w:sz w:val="24"/>
          <w:szCs w:val="24"/>
        </w:rPr>
        <w:t>re renforc</w:t>
      </w:r>
      <w:r>
        <w:rPr>
          <w:rFonts w:ascii="Times New Roman" w:hAnsi="Times New Roman"/>
          <w:b/>
          <w:bCs/>
          <w:sz w:val="24"/>
          <w:szCs w:val="24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es</w:t>
      </w:r>
    </w:p>
    <w:p w:rsidR="00436C55" w:rsidRDefault="00285CA7">
      <w:pPr>
        <w:pStyle w:val="Corps"/>
        <w:spacing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 dispositif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Union bancaire se juxtapose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nouvelle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glementation prudentielle B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  <w:lang w:val="pt-PT"/>
        </w:rPr>
        <w:t>le III adopt</w:t>
      </w:r>
      <w:proofErr w:type="spellStart"/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progressivement depuis 2014 par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ensemble des banques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ennes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suite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une directive et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 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glement </w:t>
      </w:r>
      <w:proofErr w:type="spellStart"/>
      <w:r>
        <w:rPr>
          <w:rFonts w:ascii="Times New Roman" w:hAnsi="Times New Roman"/>
          <w:sz w:val="24"/>
          <w:szCs w:val="24"/>
        </w:rPr>
        <w:t>europ</w:t>
      </w:r>
      <w:r>
        <w:rPr>
          <w:rFonts w:ascii="Times New Roman" w:hAnsi="Times New Roman"/>
          <w:sz w:val="24"/>
          <w:szCs w:val="24"/>
        </w:rPr>
        <w:t>é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en. La r</w:t>
      </w:r>
      <w:proofErr w:type="spellStart"/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glementation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le III exige des banques un niveau plus important de fonds propres et d</w:t>
      </w:r>
      <w:r>
        <w:rPr>
          <w:rFonts w:ascii="Times New Roman" w:hAnsi="Times New Roman"/>
          <w:sz w:val="24"/>
          <w:szCs w:val="24"/>
        </w:rPr>
        <w:t>e liquidit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ici 2019.</w:t>
      </w:r>
    </w:p>
    <w:p w:rsidR="00436C55" w:rsidRDefault="00285CA7">
      <w:pPr>
        <w:pStyle w:val="Corps"/>
        <w:spacing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instauration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Union bancaire coupl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une politique mon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taire tr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accommodante de la BCE a contribu</w:t>
      </w:r>
      <w:r>
        <w:rPr>
          <w:rFonts w:ascii="Times New Roman" w:hAnsi="Times New Roman"/>
          <w:sz w:val="24"/>
          <w:szCs w:val="24"/>
        </w:rPr>
        <w:t xml:space="preserve">é à </w:t>
      </w:r>
      <w:r>
        <w:rPr>
          <w:rFonts w:ascii="Times New Roman" w:hAnsi="Times New Roman"/>
          <w:sz w:val="24"/>
          <w:szCs w:val="24"/>
        </w:rPr>
        <w:t xml:space="preserve">mettre fin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crise des dettes souveraines et du secteur bancaire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en. La politique de rachat massif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actifs de la BCE contribue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liorer la structure de bilan des secteurs endett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s, ce qui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duit les risques de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faut bancaire. Aujourd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hui, les Etats membres, les entreprises et les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nages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ens empruntent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des taux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 historiquement bas.</w:t>
      </w:r>
    </w:p>
    <w:p w:rsidR="00436C55" w:rsidRDefault="00285CA7">
      <w:pPr>
        <w:pStyle w:val="Corps"/>
        <w:spacing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de-DE"/>
        </w:rPr>
        <w:t>ach</w:t>
      </w:r>
      <w:proofErr w:type="spellStart"/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vement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 espace bancaire et financier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en stable et performant 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cessite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aller plus loin dans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gulation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 march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en de capitaux unifi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et dans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glementation des activit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s financi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res des banques (Antonin et </w:t>
      </w:r>
      <w:proofErr w:type="gramStart"/>
      <w:r>
        <w:rPr>
          <w:rFonts w:ascii="Times New Roman" w:hAnsi="Times New Roman"/>
          <w:sz w:val="24"/>
          <w:szCs w:val="24"/>
        </w:rPr>
        <w:t>al.,</w:t>
      </w:r>
      <w:proofErr w:type="gramEnd"/>
      <w:r>
        <w:rPr>
          <w:rFonts w:ascii="Times New Roman" w:hAnsi="Times New Roman"/>
          <w:sz w:val="24"/>
          <w:szCs w:val="24"/>
        </w:rPr>
        <w:t xml:space="preserve"> 2014).</w:t>
      </w:r>
    </w:p>
    <w:p w:rsidR="00436C55" w:rsidRDefault="00285CA7">
      <w:pPr>
        <w:pStyle w:val="Corps"/>
        <w:spacing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Union des march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de capitaux a pour objectif principal de donner un cadre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glementaire commun afin de faciliter le financement des entreprises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ennes par les march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et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orienter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 xml:space="preserve">pargne abondante de la zone euro vers des investissements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long t</w:t>
      </w:r>
      <w:r>
        <w:rPr>
          <w:rFonts w:ascii="Times New Roman" w:hAnsi="Times New Roman"/>
          <w:sz w:val="24"/>
          <w:szCs w:val="24"/>
        </w:rPr>
        <w:t>erme. Cela permettrait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avoir un niveau de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gulation plus coh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rent et potentiellement plus exigeant sur les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missions de titres financiers (actions, obligations, 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rations de titrisation).</w:t>
      </w:r>
    </w:p>
    <w:p w:rsidR="00436C55" w:rsidRDefault="00285CA7">
      <w:pPr>
        <w:pStyle w:val="Corps"/>
        <w:spacing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Union bancaire pourrait 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 xml:space="preserve">tre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galement renforc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e en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appuyant</w:t>
      </w:r>
      <w:r>
        <w:rPr>
          <w:rFonts w:ascii="Times New Roman" w:hAnsi="Times New Roman"/>
          <w:sz w:val="24"/>
          <w:szCs w:val="24"/>
        </w:rPr>
        <w:t xml:space="preserve"> sur le projet Barnier de 2014 de 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paration forte des activit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s de d</w:t>
      </w:r>
      <w:proofErr w:type="spellStart"/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ts</w:t>
      </w:r>
      <w:proofErr w:type="spellEnd"/>
      <w:r>
        <w:rPr>
          <w:rFonts w:ascii="Times New Roman" w:hAnsi="Times New Roman"/>
          <w:sz w:val="24"/>
          <w:szCs w:val="24"/>
        </w:rPr>
        <w:t xml:space="preserve"> et de sp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culation. Le r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le de superviseur unique de la BCE (pilier 1) lui permet de v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rifier que les activit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sp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culatives ne perturbent pas les activit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s normales. Ce r</w:t>
      </w:r>
      <w:proofErr w:type="spellStart"/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le</w:t>
      </w:r>
      <w:proofErr w:type="spellEnd"/>
      <w:r>
        <w:rPr>
          <w:rFonts w:ascii="Times New Roman" w:hAnsi="Times New Roman"/>
          <w:sz w:val="24"/>
          <w:szCs w:val="24"/>
        </w:rPr>
        <w:t xml:space="preserve"> de superviseur pourrait 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 xml:space="preserve">tre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tendu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ensemble des activit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s financi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res, y compris le syst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me de cr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dit parall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le aux cr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dits classiques, le fameux </w:t>
      </w:r>
      <w:proofErr w:type="spellStart"/>
      <w:r>
        <w:rPr>
          <w:rFonts w:ascii="Times New Roman" w:hAnsi="Times New Roman"/>
          <w:sz w:val="24"/>
          <w:szCs w:val="24"/>
        </w:rPr>
        <w:t>shadow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banking</w:t>
      </w:r>
      <w:proofErr w:type="spellEnd"/>
      <w:r>
        <w:rPr>
          <w:rFonts w:ascii="Times New Roman" w:hAnsi="Times New Roman"/>
          <w:sz w:val="24"/>
          <w:szCs w:val="24"/>
        </w:rPr>
        <w:t>. La 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paration des activit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cr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dibilise aussi les fonds communs de renflouement (pilie</w:t>
      </w:r>
      <w:r>
        <w:rPr>
          <w:rFonts w:ascii="Times New Roman" w:hAnsi="Times New Roman"/>
          <w:sz w:val="24"/>
          <w:szCs w:val="24"/>
        </w:rPr>
        <w:t>r 2) et de garantie (pilier 3). En effet, il devient plus difficile pour les banques d</w:t>
      </w:r>
      <w:r>
        <w:rPr>
          <w:rFonts w:ascii="Times New Roman" w:hAnsi="Times New Roman"/>
          <w:sz w:val="24"/>
          <w:szCs w:val="24"/>
        </w:rPr>
        <w:t>’ê</w:t>
      </w:r>
      <w:r>
        <w:rPr>
          <w:rFonts w:ascii="Times New Roman" w:hAnsi="Times New Roman"/>
          <w:sz w:val="24"/>
          <w:szCs w:val="24"/>
        </w:rPr>
        <w:t>tre trop grosses, ce qui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duit le risque de faillite co</w:t>
      </w:r>
      <w:r>
        <w:rPr>
          <w:rFonts w:ascii="Times New Roman" w:hAnsi="Times New Roman"/>
          <w:sz w:val="24"/>
          <w:szCs w:val="24"/>
        </w:rPr>
        <w:t>û</w:t>
      </w:r>
      <w:r>
        <w:rPr>
          <w:rFonts w:ascii="Times New Roman" w:hAnsi="Times New Roman"/>
          <w:sz w:val="24"/>
          <w:szCs w:val="24"/>
        </w:rPr>
        <w:t xml:space="preserve">teuse pour les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pargnants (renflouement interne et limites des fonds communs).</w:t>
      </w:r>
    </w:p>
    <w:p w:rsidR="00436C55" w:rsidRDefault="00436C5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C55" w:rsidRDefault="00285CA7">
      <w:pPr>
        <w:pStyle w:val="Corps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fendre un mod</w:t>
      </w:r>
      <w:r>
        <w:rPr>
          <w:rFonts w:ascii="Times New Roman" w:hAnsi="Times New Roman"/>
          <w:b/>
          <w:bCs/>
          <w:sz w:val="24"/>
          <w:szCs w:val="24"/>
        </w:rPr>
        <w:t>è</w:t>
      </w:r>
      <w:r>
        <w:rPr>
          <w:rFonts w:ascii="Times New Roman" w:hAnsi="Times New Roman"/>
          <w:b/>
          <w:bCs/>
          <w:sz w:val="24"/>
          <w:szCs w:val="24"/>
        </w:rPr>
        <w:t xml:space="preserve">le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europ</w:t>
      </w:r>
      <w:r>
        <w:rPr>
          <w:rFonts w:ascii="Times New Roman" w:hAnsi="Times New Roman"/>
          <w:b/>
          <w:bCs/>
          <w:sz w:val="24"/>
          <w:szCs w:val="24"/>
        </w:rPr>
        <w:t>é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en de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nl-NL"/>
        </w:rPr>
        <w:t>stabilit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bancaire et financi</w:t>
      </w:r>
      <w:r>
        <w:rPr>
          <w:rFonts w:ascii="Times New Roman" w:hAnsi="Times New Roman"/>
          <w:b/>
          <w:bCs/>
          <w:sz w:val="24"/>
          <w:szCs w:val="24"/>
        </w:rPr>
        <w:t>è</w:t>
      </w:r>
      <w:r>
        <w:rPr>
          <w:rFonts w:ascii="Times New Roman" w:hAnsi="Times New Roman"/>
          <w:b/>
          <w:bCs/>
          <w:sz w:val="24"/>
          <w:szCs w:val="24"/>
        </w:rPr>
        <w:t>re</w:t>
      </w:r>
    </w:p>
    <w:p w:rsidR="00436C55" w:rsidRDefault="00285CA7">
      <w:pPr>
        <w:pStyle w:val="Corps"/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aujourd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hui les Etats-Unis renoncent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une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glementation plus exigeante de leurs banques avec pour objectif de court terme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augmenter leur rentabilit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Union bancaire constitue un outil de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fense remarquable pour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server et renforcer le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veloppement des banques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ennes tout en exigeant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elles une haute exigence de 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curit</w:t>
      </w:r>
      <w:r>
        <w:rPr>
          <w:rFonts w:ascii="Times New Roman" w:hAnsi="Times New Roman"/>
          <w:sz w:val="24"/>
          <w:szCs w:val="24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financi</w:t>
      </w:r>
      <w:r>
        <w:rPr>
          <w:rFonts w:ascii="Times New Roman" w:hAnsi="Times New Roman"/>
          <w:sz w:val="24"/>
          <w:szCs w:val="24"/>
        </w:rPr>
        <w:t>è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re.</w:t>
      </w:r>
    </w:p>
    <w:p w:rsidR="00436C55" w:rsidRDefault="00285CA7">
      <w:pPr>
        <w:pStyle w:val="Corps"/>
        <w:spacing w:after="40"/>
        <w:jc w:val="both"/>
      </w:pPr>
      <w:r>
        <w:rPr>
          <w:rFonts w:ascii="Times New Roman" w:hAnsi="Times New Roman"/>
          <w:sz w:val="24"/>
          <w:szCs w:val="24"/>
        </w:rPr>
        <w:t>Alors que la justice am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ricaine 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site pas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condamner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de lourdes amendes les banques </w:t>
      </w:r>
      <w:proofErr w:type="gramStart"/>
      <w:r>
        <w:rPr>
          <w:rFonts w:ascii="Times New Roman" w:hAnsi="Times New Roman"/>
          <w:sz w:val="24"/>
          <w:szCs w:val="24"/>
        </w:rPr>
        <w:t>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ennes[</w:t>
      </w:r>
      <w:proofErr w:type="gramEnd"/>
      <w:r>
        <w:rPr>
          <w:rFonts w:ascii="Times New Roman" w:hAnsi="Times New Roman"/>
          <w:sz w:val="24"/>
          <w:szCs w:val="24"/>
        </w:rPr>
        <w:t xml:space="preserve">3] et que les grandes </w:t>
      </w:r>
      <w:r>
        <w:rPr>
          <w:rFonts w:ascii="Times New Roman" w:hAnsi="Times New Roman"/>
          <w:sz w:val="24"/>
          <w:szCs w:val="24"/>
        </w:rPr>
        <w:t>banques chinoises accaparent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sormais quatre des cinq premi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res places de la finance mondiale (</w:t>
      </w:r>
      <w:proofErr w:type="spellStart"/>
      <w:r>
        <w:rPr>
          <w:rFonts w:ascii="Times New Roman" w:hAnsi="Times New Roman"/>
          <w:sz w:val="24"/>
          <w:szCs w:val="24"/>
        </w:rPr>
        <w:t>Lepl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tre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</w:rPr>
        <w:t>Grandin</w:t>
      </w:r>
      <w:proofErr w:type="spellEnd"/>
      <w:r>
        <w:rPr>
          <w:rFonts w:ascii="Times New Roman" w:hAnsi="Times New Roman"/>
          <w:sz w:val="24"/>
          <w:szCs w:val="24"/>
        </w:rPr>
        <w:t xml:space="preserve"> de l</w:t>
      </w:r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Eprevier</w:t>
      </w:r>
      <w:proofErr w:type="spellEnd"/>
      <w:r>
        <w:rPr>
          <w:rFonts w:ascii="Times New Roman" w:hAnsi="Times New Roman"/>
          <w:sz w:val="24"/>
          <w:szCs w:val="24"/>
        </w:rPr>
        <w:t>, 2016), un mode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action coordonn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devient crucial pour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fendre et imposer un mod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le bancaire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en stable et performant. </w:t>
      </w:r>
      <w:r>
        <w:rPr>
          <w:rFonts w:ascii="Times New Roman" w:hAnsi="Times New Roman"/>
          <w:sz w:val="24"/>
          <w:szCs w:val="24"/>
        </w:rPr>
        <w:t>Dans  ce domaine, une Europe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sunie pourrait appara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tre faible alors que ses exc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dents d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pargne en font une puissance financi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re mondiale. Certes, la crise a affaibli de nombreuses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conomies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ennes, mais il faut se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fier des tentations court-</w:t>
      </w:r>
      <w:proofErr w:type="spellStart"/>
      <w:r>
        <w:rPr>
          <w:rFonts w:ascii="Times New Roman" w:hAnsi="Times New Roman"/>
          <w:sz w:val="24"/>
          <w:szCs w:val="24"/>
        </w:rPr>
        <w:t>termis</w:t>
      </w:r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de repli autarcique car un pays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en qui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isole devient une proie facile face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un syst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me bancaire mondial en mutation.</w:t>
      </w:r>
    </w:p>
    <w:sectPr w:rsidR="00436C5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A7" w:rsidRDefault="00285CA7">
      <w:r>
        <w:separator/>
      </w:r>
    </w:p>
  </w:endnote>
  <w:endnote w:type="continuationSeparator" w:id="0">
    <w:p w:rsidR="00285CA7" w:rsidRDefault="0028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55" w:rsidRDefault="00436C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A7" w:rsidRDefault="00285CA7">
      <w:r>
        <w:separator/>
      </w:r>
    </w:p>
  </w:footnote>
  <w:footnote w:type="continuationSeparator" w:id="0">
    <w:p w:rsidR="00285CA7" w:rsidRDefault="0028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55" w:rsidRDefault="00436C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6C55"/>
    <w:rsid w:val="00285CA7"/>
    <w:rsid w:val="00436C55"/>
    <w:rsid w:val="0096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Laurence Vincent</cp:lastModifiedBy>
  <cp:revision>2</cp:revision>
  <cp:lastPrinted>2017-04-24T15:12:00Z</cp:lastPrinted>
  <dcterms:created xsi:type="dcterms:W3CDTF">2017-04-24T15:12:00Z</dcterms:created>
  <dcterms:modified xsi:type="dcterms:W3CDTF">2017-04-24T15:12:00Z</dcterms:modified>
</cp:coreProperties>
</file>